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textAlignment w:val="baseline"/>
        <w:rPr>
          <w:rFonts w:hint="eastAsia" w:ascii="方正小标宋简体" w:hAnsi="方正小标宋简体" w:eastAsia="方正小标宋简体" w:cs="方正小标宋简体"/>
          <w:i w:val="0"/>
          <w:iCs w:val="0"/>
          <w:caps w:val="0"/>
          <w:color w:val="333333"/>
          <w:spacing w:val="0"/>
          <w:sz w:val="32"/>
          <w:szCs w:val="32"/>
          <w:bdr w:val="none" w:color="auto" w:sz="0" w:space="0"/>
          <w:shd w:val="clear" w:fill="FFFFFF"/>
          <w:vertAlign w:val="baseline"/>
        </w:rPr>
      </w:pPr>
      <w:r>
        <w:rPr>
          <w:rFonts w:hint="eastAsia" w:ascii="方正小标宋简体" w:hAnsi="方正小标宋简体" w:eastAsia="方正小标宋简体" w:cs="方正小标宋简体"/>
          <w:i w:val="0"/>
          <w:iCs w:val="0"/>
          <w:caps w:val="0"/>
          <w:color w:val="333333"/>
          <w:spacing w:val="0"/>
          <w:sz w:val="32"/>
          <w:szCs w:val="32"/>
          <w:bdr w:val="none" w:color="auto" w:sz="0" w:space="0"/>
          <w:shd w:val="clear" w:fill="FFFFFF"/>
          <w:vertAlign w:val="baseline"/>
        </w:rPr>
        <w:t>《学术出版规范 期刊学术不端行为界定》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textAlignment w:val="baseline"/>
        <w:rPr>
          <w:rFonts w:hint="eastAsia" w:ascii="方正小标宋简体" w:hAnsi="方正小标宋简体" w:eastAsia="方正小标宋简体" w:cs="方正小标宋简体"/>
          <w:i w:val="0"/>
          <w:iCs w:val="0"/>
          <w:caps w:val="0"/>
          <w:color w:val="000000"/>
          <w:spacing w:val="0"/>
          <w:sz w:val="32"/>
          <w:szCs w:val="32"/>
        </w:rPr>
      </w:pPr>
      <w:r>
        <w:rPr>
          <w:rFonts w:hint="eastAsia" w:ascii="方正小标宋简体" w:hAnsi="方正小标宋简体" w:eastAsia="方正小标宋简体" w:cs="方正小标宋简体"/>
          <w:i w:val="0"/>
          <w:iCs w:val="0"/>
          <w:caps w:val="0"/>
          <w:color w:val="333333"/>
          <w:spacing w:val="0"/>
          <w:sz w:val="32"/>
          <w:szCs w:val="32"/>
          <w:bdr w:val="none" w:color="auto" w:sz="0" w:space="0"/>
          <w:shd w:val="clear" w:fill="FFFFFF"/>
          <w:vertAlign w:val="baseline"/>
        </w:rPr>
        <w:t>（国家新闻出版署发布）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333333"/>
          <w:spacing w:val="0"/>
          <w:sz w:val="28"/>
          <w:szCs w:val="28"/>
          <w:bdr w:val="none" w:color="auto" w:sz="0" w:space="0"/>
          <w:shd w:val="clear" w:fill="FFFFFF"/>
          <w:vertAlign w:val="baseline"/>
        </w:rPr>
        <w:t>行业标准《学术出版规范期刊学术不端行为界定（</w:t>
      </w:r>
      <w:r>
        <w:rPr>
          <w:rFonts w:hint="eastAsia" w:asciiTheme="majorEastAsia" w:hAnsiTheme="majorEastAsia" w:eastAsiaTheme="majorEastAsia" w:cstheme="majorEastAsia"/>
          <w:i w:val="0"/>
          <w:iCs w:val="0"/>
          <w:caps w:val="0"/>
          <w:color w:val="333333"/>
          <w:spacing w:val="0"/>
          <w:sz w:val="28"/>
          <w:szCs w:val="28"/>
          <w:bdr w:val="none" w:color="auto" w:sz="0" w:space="0"/>
          <w:shd w:val="clear" w:fill="FFFFFF"/>
          <w:vertAlign w:val="baseline"/>
          <w:lang w:val="en-US"/>
        </w:rPr>
        <w:t>CY/T174</w:t>
      </w:r>
      <w:r>
        <w:rPr>
          <w:rFonts w:hint="eastAsia" w:asciiTheme="majorEastAsia" w:hAnsiTheme="majorEastAsia" w:eastAsiaTheme="majorEastAsia" w:cstheme="majorEastAsia"/>
          <w:i w:val="0"/>
          <w:iCs w:val="0"/>
          <w:caps w:val="0"/>
          <w:color w:val="333333"/>
          <w:spacing w:val="0"/>
          <w:sz w:val="28"/>
          <w:szCs w:val="28"/>
          <w:bdr w:val="none" w:color="auto" w:sz="0" w:space="0"/>
          <w:shd w:val="clear" w:fill="FFFFFF"/>
          <w:vertAlign w:val="baseline"/>
        </w:rPr>
        <w:t>—</w:t>
      </w:r>
      <w:r>
        <w:rPr>
          <w:rFonts w:hint="eastAsia" w:asciiTheme="majorEastAsia" w:hAnsiTheme="majorEastAsia" w:eastAsiaTheme="majorEastAsia" w:cstheme="majorEastAsia"/>
          <w:i w:val="0"/>
          <w:iCs w:val="0"/>
          <w:caps w:val="0"/>
          <w:color w:val="333333"/>
          <w:spacing w:val="0"/>
          <w:sz w:val="28"/>
          <w:szCs w:val="28"/>
          <w:bdr w:val="none" w:color="auto" w:sz="0" w:space="0"/>
          <w:shd w:val="clear" w:fill="FFFFFF"/>
          <w:vertAlign w:val="baseline"/>
          <w:lang w:val="en-US"/>
        </w:rPr>
        <w:t>2019</w:t>
      </w:r>
      <w:r>
        <w:rPr>
          <w:rFonts w:hint="eastAsia" w:asciiTheme="majorEastAsia" w:hAnsiTheme="majorEastAsia" w:eastAsiaTheme="majorEastAsia" w:cstheme="majorEastAsia"/>
          <w:i w:val="0"/>
          <w:iCs w:val="0"/>
          <w:caps w:val="0"/>
          <w:color w:val="333333"/>
          <w:spacing w:val="0"/>
          <w:sz w:val="28"/>
          <w:szCs w:val="28"/>
          <w:bdr w:val="none" w:color="auto" w:sz="0" w:space="0"/>
          <w:shd w:val="clear" w:fill="FFFFFF"/>
          <w:vertAlign w:val="baseline"/>
        </w:rPr>
        <w:t>）》由全国新闻出版标准化技术委员会归口上报，主管部门为国家新闻出版署。</w:t>
      </w:r>
      <w:r>
        <w:rPr>
          <w:rFonts w:hint="eastAsia" w:asciiTheme="majorEastAsia" w:hAnsiTheme="majorEastAsia" w:eastAsiaTheme="majorEastAsia" w:cstheme="majorEastAsia"/>
          <w:i w:val="0"/>
          <w:iCs w:val="0"/>
          <w:caps w:val="0"/>
          <w:color w:val="333333"/>
          <w:spacing w:val="0"/>
          <w:sz w:val="28"/>
          <w:szCs w:val="28"/>
          <w:bdr w:val="none" w:color="auto" w:sz="0" w:space="0"/>
          <w:shd w:val="clear" w:fill="FFFFFF"/>
          <w:vertAlign w:val="baseline"/>
          <w:lang w:val="en-US"/>
        </w:rPr>
        <w:t>2019</w:t>
      </w:r>
      <w:r>
        <w:rPr>
          <w:rFonts w:hint="eastAsia" w:asciiTheme="majorEastAsia" w:hAnsiTheme="majorEastAsia" w:eastAsiaTheme="majorEastAsia" w:cstheme="majorEastAsia"/>
          <w:i w:val="0"/>
          <w:iCs w:val="0"/>
          <w:caps w:val="0"/>
          <w:color w:val="333333"/>
          <w:spacing w:val="0"/>
          <w:sz w:val="28"/>
          <w:szCs w:val="28"/>
          <w:bdr w:val="none" w:color="auto" w:sz="0" w:space="0"/>
          <w:shd w:val="clear" w:fill="FFFFFF"/>
          <w:vertAlign w:val="baseline"/>
        </w:rPr>
        <w:t>年</w:t>
      </w:r>
      <w:r>
        <w:rPr>
          <w:rFonts w:hint="eastAsia" w:asciiTheme="majorEastAsia" w:hAnsiTheme="majorEastAsia" w:eastAsiaTheme="majorEastAsia" w:cstheme="majorEastAsia"/>
          <w:i w:val="0"/>
          <w:iCs w:val="0"/>
          <w:caps w:val="0"/>
          <w:color w:val="333333"/>
          <w:spacing w:val="0"/>
          <w:sz w:val="28"/>
          <w:szCs w:val="28"/>
          <w:bdr w:val="none" w:color="auto" w:sz="0" w:space="0"/>
          <w:shd w:val="clear" w:fill="FFFFFF"/>
          <w:vertAlign w:val="baseline"/>
          <w:lang w:val="en-US"/>
        </w:rPr>
        <w:t>5</w:t>
      </w:r>
      <w:r>
        <w:rPr>
          <w:rFonts w:hint="eastAsia" w:asciiTheme="majorEastAsia" w:hAnsiTheme="majorEastAsia" w:eastAsiaTheme="majorEastAsia" w:cstheme="majorEastAsia"/>
          <w:i w:val="0"/>
          <w:iCs w:val="0"/>
          <w:caps w:val="0"/>
          <w:color w:val="333333"/>
          <w:spacing w:val="0"/>
          <w:sz w:val="28"/>
          <w:szCs w:val="28"/>
          <w:bdr w:val="none" w:color="auto" w:sz="0" w:space="0"/>
          <w:shd w:val="clear" w:fill="FFFFFF"/>
          <w:vertAlign w:val="baseline"/>
        </w:rPr>
        <w:t>月</w:t>
      </w:r>
      <w:r>
        <w:rPr>
          <w:rFonts w:hint="eastAsia" w:asciiTheme="majorEastAsia" w:hAnsiTheme="majorEastAsia" w:eastAsiaTheme="majorEastAsia" w:cstheme="majorEastAsia"/>
          <w:i w:val="0"/>
          <w:iCs w:val="0"/>
          <w:caps w:val="0"/>
          <w:color w:val="333333"/>
          <w:spacing w:val="0"/>
          <w:sz w:val="28"/>
          <w:szCs w:val="28"/>
          <w:bdr w:val="none" w:color="auto" w:sz="0" w:space="0"/>
          <w:shd w:val="clear" w:fill="FFFFFF"/>
          <w:vertAlign w:val="baseline"/>
          <w:lang w:val="en-US"/>
        </w:rPr>
        <w:t>29</w:t>
      </w:r>
      <w:r>
        <w:rPr>
          <w:rFonts w:hint="eastAsia" w:asciiTheme="majorEastAsia" w:hAnsiTheme="majorEastAsia" w:eastAsiaTheme="majorEastAsia" w:cstheme="majorEastAsia"/>
          <w:i w:val="0"/>
          <w:iCs w:val="0"/>
          <w:caps w:val="0"/>
          <w:color w:val="333333"/>
          <w:spacing w:val="0"/>
          <w:sz w:val="28"/>
          <w:szCs w:val="28"/>
          <w:bdr w:val="none" w:color="auto" w:sz="0" w:space="0"/>
          <w:shd w:val="clear" w:fill="FFFFFF"/>
          <w:vertAlign w:val="baseline"/>
        </w:rPr>
        <w:t>日发布，</w:t>
      </w:r>
      <w:r>
        <w:rPr>
          <w:rFonts w:hint="eastAsia" w:asciiTheme="majorEastAsia" w:hAnsiTheme="majorEastAsia" w:eastAsiaTheme="majorEastAsia" w:cstheme="majorEastAsia"/>
          <w:i w:val="0"/>
          <w:iCs w:val="0"/>
          <w:caps w:val="0"/>
          <w:color w:val="333333"/>
          <w:spacing w:val="0"/>
          <w:sz w:val="28"/>
          <w:szCs w:val="28"/>
          <w:bdr w:val="none" w:color="auto" w:sz="0" w:space="0"/>
          <w:shd w:val="clear" w:fill="FFFFFF"/>
          <w:vertAlign w:val="baseline"/>
          <w:lang w:val="en-US"/>
        </w:rPr>
        <w:t>2019</w:t>
      </w:r>
      <w:r>
        <w:rPr>
          <w:rFonts w:hint="eastAsia" w:asciiTheme="majorEastAsia" w:hAnsiTheme="majorEastAsia" w:eastAsiaTheme="majorEastAsia" w:cstheme="majorEastAsia"/>
          <w:i w:val="0"/>
          <w:iCs w:val="0"/>
          <w:caps w:val="0"/>
          <w:color w:val="333333"/>
          <w:spacing w:val="0"/>
          <w:sz w:val="28"/>
          <w:szCs w:val="28"/>
          <w:bdr w:val="none" w:color="auto" w:sz="0" w:space="0"/>
          <w:shd w:val="clear" w:fill="FFFFFF"/>
          <w:vertAlign w:val="baseline"/>
        </w:rPr>
        <w:t>年</w:t>
      </w:r>
      <w:r>
        <w:rPr>
          <w:rFonts w:hint="eastAsia" w:asciiTheme="majorEastAsia" w:hAnsiTheme="majorEastAsia" w:eastAsiaTheme="majorEastAsia" w:cstheme="majorEastAsia"/>
          <w:i w:val="0"/>
          <w:iCs w:val="0"/>
          <w:caps w:val="0"/>
          <w:color w:val="333333"/>
          <w:spacing w:val="0"/>
          <w:sz w:val="28"/>
          <w:szCs w:val="28"/>
          <w:bdr w:val="none" w:color="auto" w:sz="0" w:space="0"/>
          <w:shd w:val="clear" w:fill="FFFFFF"/>
          <w:vertAlign w:val="baseline"/>
          <w:lang w:val="en-US"/>
        </w:rPr>
        <w:t>7</w:t>
      </w:r>
      <w:r>
        <w:rPr>
          <w:rFonts w:hint="eastAsia" w:asciiTheme="majorEastAsia" w:hAnsiTheme="majorEastAsia" w:eastAsiaTheme="majorEastAsia" w:cstheme="majorEastAsia"/>
          <w:i w:val="0"/>
          <w:iCs w:val="0"/>
          <w:caps w:val="0"/>
          <w:color w:val="333333"/>
          <w:spacing w:val="0"/>
          <w:sz w:val="28"/>
          <w:szCs w:val="28"/>
          <w:bdr w:val="none" w:color="auto" w:sz="0" w:space="0"/>
          <w:shd w:val="clear" w:fill="FFFFFF"/>
          <w:vertAlign w:val="baseline"/>
        </w:rPr>
        <w:t>月</w:t>
      </w:r>
      <w:r>
        <w:rPr>
          <w:rFonts w:hint="eastAsia" w:asciiTheme="majorEastAsia" w:hAnsiTheme="majorEastAsia" w:eastAsiaTheme="majorEastAsia" w:cstheme="majorEastAsia"/>
          <w:i w:val="0"/>
          <w:iCs w:val="0"/>
          <w:caps w:val="0"/>
          <w:color w:val="333333"/>
          <w:spacing w:val="0"/>
          <w:sz w:val="28"/>
          <w:szCs w:val="28"/>
          <w:bdr w:val="none" w:color="auto" w:sz="0" w:space="0"/>
          <w:shd w:val="clear" w:fill="FFFFFF"/>
          <w:vertAlign w:val="baseline"/>
          <w:lang w:val="en-US"/>
        </w:rPr>
        <w:t>1</w:t>
      </w:r>
      <w:r>
        <w:rPr>
          <w:rFonts w:hint="eastAsia" w:asciiTheme="majorEastAsia" w:hAnsiTheme="majorEastAsia" w:eastAsiaTheme="majorEastAsia" w:cstheme="majorEastAsia"/>
          <w:i w:val="0"/>
          <w:iCs w:val="0"/>
          <w:caps w:val="0"/>
          <w:color w:val="333333"/>
          <w:spacing w:val="0"/>
          <w:sz w:val="28"/>
          <w:szCs w:val="28"/>
          <w:bdr w:val="none" w:color="auto" w:sz="0" w:space="0"/>
          <w:shd w:val="clear" w:fill="FFFFFF"/>
          <w:vertAlign w:val="baseline"/>
        </w:rPr>
        <w:t>日正式实施。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【基础信息】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标准号CY/T 174—2019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发布日期2019-05-29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实施日期2019-07-01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中国标准分类号A19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国际标准分类号01.140.4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【适用范围】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本标准界定了学术期刊论文作者、审稿专家、编辑者所可能涉及的学术不端行为。本标准适用于学术期刊论文出版过程中各类学术不端行为的判断和处理。其他学术出版物可参照使用。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【起草单位】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同方知网数字出版技术股份有限公司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中国科学院科技战略咨询研究院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【起草人】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李真真</w:t>
      </w: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/张宏伟</w:t>
      </w: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/黄小茹</w:t>
      </w: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/孙雄勇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1范围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本标准界定了学术期刊论文作者、审稿专家、编辑者所可能涉及的学术不端行为。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本标准适用于学术期刊论文出版过程中各类学术不端行为的判断和处理。其他学术出版物可参照使用。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2术语和定义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下列术语和定义使用于本文件。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2.1剽窃</w:t>
      </w: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plagiarism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采用不当手段，窃取他人的观点、数据、图像、研究方法、文字表述等并以自己名义发表的行为。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2.2伪造</w:t>
      </w: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fabrication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编造或虚构数据、事实的行为。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2.3篡改</w:t>
      </w: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falsification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故意修改数据和事实</w:t>
      </w:r>
      <w:bookmarkStart w:id="0" w:name="_GoBack"/>
      <w:bookmarkEnd w:id="0"/>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使其失去真实性的行为。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2.4不当署名</w:t>
      </w: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inappropriate authorization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与对论文实际贡献不符的署名或作者排序行为。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2.5一稿多投</w:t>
      </w: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duplicate submission；multiple submissions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将同一篇论文或只有微小差别的多篇论文投给两个及以上期刊，或者在约定期限内再转投其他期刊的行为。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2.6重复发表</w:t>
      </w: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overlapping publications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在未说明的情况下重复发表自己（或自己作为作者之一）已经发表文献中内容的行为。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3论文作者学术不端行为类型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3.1剽窃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3.1.1观点剽窃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不加引注或说明地使用他人的观点，并以自己的名义发表，应界定为观点剽窃。观点剽窃的表现形式包括：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a)不加引注地直接使用他人已发表文献中的论点、观点、结论等。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b)不改变其本意地转述他人的论点、观点、结论等后不加引注地使用。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c)对他人的论点、观点、结论等删减部分内容后不加引注地使用。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d)对他人的论点、观点、结论等进行拆分或重组后不加引注地使用。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e)对他人的论点、观点、结论等增加一些内容后不加引注地使用。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3.1.2数据剽窃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不加引注或说明地使用他人已发表文献中的数据，并以自己的名义发表，应界定为数据剽窃。数据剽窃的表现形式包括：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a)不加引注地直接使用他人已发表文献中的数据。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b)对他人已发表文献中的数据进行些微修改后不加引注地使用。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c)对他人已发表文献中的数据进行一些添加后不加引注地使用。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d)对他人已发表文献中的数据进行部分删减后不加引注地使用。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e)改变他人已发表文献中数据原有的排列顺序后不加引注地使用。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f)改变他人已发表文献中的数据的呈现方式后不加引注地使用，如将图表转换成文字表述，或者将文字表述转换成图表。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3.1.3图片和音视频剽窃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不加引注或说明地使用他人已发表文献中的图片和音视频，并以自己的名义发表，应界定为图片和音视频剽窃。图片和音视频剽窃的表现形式包括：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a)不加引注或说明地直接使用他人已发表文献中的图像、音视频等资料。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b)对他人已发表文献中的图片和音视频进行些微修改后不加引注或说明地使用。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c)对他人已发表文献中的图片和音视频添加一些内容后不加引注或说明地使用。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d)对他人已发表文献中的图片和音视频删减部分内容后不加引注或说明地使用。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e)对他人已发表文献中的图片增强部分内容后不加引注或说明地使用。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f)对他人已发表文献中的图片弱化部分内容后不加引注或说明地使用。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3.1.4研究(实验)方法剽窃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不加引注或说明地使用他人具有独创性的研究（实验）方法，并以自己的名义发表，应界定为研究（实验）方法剽窃。研究（实验）方法剽窃的表现形式包括：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a)不加引注或说明地直接使用他人已发表文献中具有独创性的研究（实验）方法。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b)修改他人已发表文献中具有独创性的研究（实验）方法的一些非核心元素后不加引注或说明地使用。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3.1.5文字表述剽窃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不加引注地使用他人已发表文献中具有完整语义的文字表述，并以自己的名义发表，应界定为文字表述剽窃。文字表述剽窃的表现形式包括：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a)不加引注地直接使用他人已发表文献中的文字表述。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b)成段使用他人已发表文献中的文字表述，虽然进行了引注，但对所使用文字不加引号，或者不改变字体，或者不使用特定的排列方式显示。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c)多处使用某一已发表文献中的文字表述，却只在其中一处或几处进行引注。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d)连续使用来源于多个文献的文字表述，却只标注其中一个或几个文献来源。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e)不加引注、不改变其本意地转述他人已发表文献中的文字表述，包括概括、删减他人已发表文献中的文字，或者改变他人已发表文献中的文字表述的句式，或者用类似词语对他人已发表文献中的文字表述进行同义替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f)对他人已发表文献中的文字表述增加一些词句后不加引注地使用。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g)对他人已发表文献中的文字表述删减一些词句后不加引注地使用。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3.1.6整体剽窃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论文的主体或论文某一部分的主体过度引用或大量引用他人已发表文献的内容，应界定为整体剽窃。整体剽窃的表现形式包括：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a)直接使用他人已发表文献的全部或大部分内容。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b)在他人已发表文献的基础上增加部分内容后以自己的名义发表，如补充一些数据，或者补充一些新的分析等。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c)对他人已发表文献的全部或大部分内容进行缩减后以自己的名义发表。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d)替换他人已发表文献中的研究对象后以自己的名义发表。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e)改变他人已发表文献的结构、段落顺序后以自己的名义发表。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f)将多篇他人已发表文献拼接成一篇论文后发表。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3.1.7他人未发表成果剽窃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未经许可使用他人未发表的观点，具有独创性的研究（实验）方法，数据、图片等，或获得许可但不加以说明，应界定为他人未发表成果剽窃。他人未发表成果剽窃的表现形式包括：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a)未经许可使用他人已经公开但未正式发表的观点，具有独创性的研究（实验）方法，数据、图片等。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b)获得许可使用他人已经公开但未正式发表的观点，具有独创性的研究（实验）方法，数据、图片等，却不加引注，或者不以致谢等方式说明。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3.2伪造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伪造的表现形式包括：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a)编造不以实际调查或实验取得的数据、图片等。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b)伪造无法通过重复实验而再次取得的样品等。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c)编造不符合实际或无法重复验证的研究方法、结论等。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d)编造能为论文提供支撑的资料、注释、参考文献。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e)编造论文中相关研究的资助来源。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f)编造审稿人信息、审稿意见。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3.3篡改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篡改的表现形式包括：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a)使用经过擅自修改、挑选、删减、增加的原始调查记录、实验数据等，使原始调查记录、实验数据等的本意发生改变。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b)拼接不同图片从而构造不真实的图片。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c)从图片整体中去除一部分或添加一些虚构的部分，使对图片的解释发生改变。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d)增强、模糊、移动图片的特定部分，使对图片的解释发生改变。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e)改变所引用文献的本意，使其对己有利。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3.4不当署名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不当署名的表现形式包括：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a)将对论文所涉及的研究有实质性贡献的人排除在作者名单外。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b)未对论文所涉及的研究有实质性贡献的人在论文中署名。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c)未经他人同意擅自将其列入作者名单。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d)作者排序与其对论文的实际贡献不符。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e)提供虚假的作者职称、单位、学历、研究经历等信息。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3.5一稿多投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一稿多投的表现形式包括：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a)将同一篇论文同时投给多个期刊。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b)在首次投稿的约定回复期内，将论文再次投给其他期刊。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c)在未接到期刊确认撤稿的正式通知前，将稿件投给其他期刊。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d)将只有微小差别的多篇论文，同时投给多个期刊。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e)在收到首次投稿期刊回复之前或在约定期内，对论文进行稍微修改后，投给其他期刊。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f)在不做任何说明的情况下，将自己（或自己作为作者之一）已经发表论文，原封不动或做些微修改后再次投稿。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3.6重复发表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重复发表的表现形式包括：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a)不加引注或说明，在论文中使用自己（或自己作为作者之一）已发表文献中的内容。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b)在不做任何说明的情况下，摘取多篇自己（或自己作为作者之一）已发表文献中的部分内容，拼接成一篇新论文后再次发表。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c)被允许的二次发表不说明首次发表出处。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d)不加引注或说明地在多篇论文中重复使用一次调查、一个实验的数据等。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e)将实质上基于同一实验或研究的论文，每次补充少量数据或资料后，多次发表方法、结论等相似或雷同的论文。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f)合作者就同一调查、实验、结果等，发表数据、方法、结论等明显相似或雷同的论文。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3.7违背研究伦理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论文涉及的研究未按规定获得伦理审批，或者超出伦理审批许可范围，或者违背研究伦理规范，应界定为违背研究伦理。违背研究伦理的表现形式包括：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a)论文所涉及的研究未按规定获得相应的伦理审批，或不能提供相应的审批证明。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b)论文所涉及的研究超出伦理审批许可的范围。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c)论文所涉及的研究中存在不当伤害研究参与者，虐待有生命的实验对象，违背知情同意原则等违背研究伦理的问题。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d)论文泄露了被试者或被调查者的隐私。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e)论文未按规定对所涉及研究中的利益冲突予以说明。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3.8其他学术不端行为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其他学术不端行为包括：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a)在参考文献中加入实际未参考过的文献。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b)将转引自其他文献的引文标注为直引，包括将引自译著的引文标注为引自原著。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c)未以恰当的方式，对他人提供的研究经费、实验设备、材料、数据、思路、未公开的资料等，给予说明和承认（有特殊要求的除外）。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d)不按约定向他人或社会泄露论文关键信息，侵犯投稿期刊的首发权。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e)未经许可，使用需要获得许可的版权文献。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f)使用多人共有版权文献时，未经所有版权者同意。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g)经许可使用他人版权文献，却不加引注，或引用文献信息不完整。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h)经许可使用他人版权文献，却超过了允许使用的范围或目的。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i)在非匿名评审程序中干扰期刊编辑、审稿专家。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j)向编辑推荐与自己有利益关系的审稿专家。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k)委托第三方机构或者与论文内容无关的他人代写、代投、代修。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l)违反保密规定发表论文。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4审稿专家学术不端行为类型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4.1违背学术道德的评审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论文评审中姑息学术不端的行为，或者依据非学术因素评审等，应界定为违背学术道德的评审。违背学术道德的评审的表现形式包括：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a)对发现的稿件中的实际缺陷、学术不端行为视而不见。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b)依据作者的国籍、性别、民族、身份地位、地域以及所属单位性质等非学术因素等，而非论文的科学价值、原创性和撰写质量以及与期刊范围和宗旨的相关性等，提出审稿意见。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4.2干扰评审程序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故意拖延评审过程，或者以不正当方式影响发表决定，应界定为干扰评审程序。干扰评审程序的表现形式包括：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a)无法完成评审却不及时拒绝评审或与期刊协商。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b)不合理地拖延评审过程。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c)在非匿名评审程序中不经期刊允许，直接与作者联系。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d)私下影响编辑者，左右发表决定。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4.3违反利益冲突规定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不公开或隐瞒与所评审论文的作者的利益关系，或者故意推荐与特定稿件存在利益关系的其他审稿专家等，应界定为违反利益冲突规定。违反利益冲突规定的表现形式包括：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a)未按规定向编辑者说明可能会将自己排除出评审程序的利益冲突。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b)向编辑者推荐与特定稿件存在可能或潜在利益冲突的其他审稿专家。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c)不公平地评审存在利益冲突的作者的论文。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4.4违反保密规定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擅自与他人分享、使用所审稿件内容，或者公开未发表稿件内容，应界定为违反保密规定。违反保密规定的表现形式包括：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a)在评审程序之外与他人分享所审稿件内容。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b)擅自公布未发表稿件内容或研究成果。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c)擅自以与评审程序无关的目的使用所审稿件内容。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4.5盗用稿件内容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擅自使用自己评审的、未发表稿件中的内容，或者使用得到许可的未发表稿件中的内容却不加引注或说明，应界定为盗用所审稿件内容。盗用所审稿件内容的表现形式包括：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a)未经论文作者、编辑者许可，使用自己所审的、未发表稿件中的内容。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b)经论文作者、编辑者许可，却不加引注或说明地使用自己所审的、未发表稿件中的内容。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4.6谋取不正当利益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利用评审中的保密信息、评审的权利为自己谋利，应界定为谋取不正当利益。谋取不正当利益的表现形式包括：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a)利用保密的信息来获得个人的或职业上的利益。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b)利用评审权利谋取不正当利益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4.7其他学术不端行为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其他学术不端行为包括：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a)发现所审论文存在研究伦理问题但不及时告知期刊。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b)擅自请他人代自己评审。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5编辑者学术不端行为类型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5.1违背学术和伦理标准提出编辑意见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不遵循学术和伦理标准、期刊宗旨提出编辑意见，应界定为违背学术和伦理标准提出编辑意见。表现形式包括：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a)基于非学术标准、超出期刊范围和宗旨提出编辑意见。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b)无视或有意忽视期刊论文相关伦理要求提出编辑意见。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5.2违反利益冲突规定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隐瞒与投稿作者的利益关系，或者故意选择与投稿作者有利益关系的审稿专家，应界定为违反利益冲突规定。违反利益冲突规定的表现形式包括：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a)没有向编辑者说明可能会将自己排除出特定稿件编辑程序的利益冲突。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b)有意选择存在潜在或实际利益冲突的审稿专家评审稿件。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5.3违反保密要求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在匿名评审中故意透露论文作者、审稿专家的相关信息，或者擅自透露、公开、使用所编辑稿件的内容，或者因不遵守相关规定致使稿件信息外泄，应界定为违反保密要求。违反保密要求的表现形式包括：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a)在匿名评审中向审稿专家透露论文作者的相关信息。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b)在匿名评审中向论文作者透露审稿专家的相关信息。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c)在编辑程序之外与他人分享所编辑稿件内容。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d)擅自公布未发表稿件内容或研究成果。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e)擅自以与编辑程序无关的目的使用稿件内容。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f)违背有关安全存放或销毁稿件和电子版稿件文档及相关内容的规定，致使信息外泄。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5.4盗用稿件内容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擅自使用未发表稿件的内容，或者经许可使用未发表稿件内容却不加引注或说明，应界定为盗用稿件内容。盗用稿件内容的表现形式包括：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a)未经论文作者许可，使用未发表稿件中的内容。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b)经论文作者许可，却不加引注或说明地使用未发表稿件中的内容。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5.5干扰评审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影响审稿专家的评审，或者无理由地否定、歪曲审稿专家的审稿意见，应界定为干扰评审。干扰评审的表现形式包括：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a)私下影响审稿专家，左右评审意见。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b)无充分理由地无视或否定审稿专家给出的审稿意见。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c)故意歪曲审稿专家的意见，影响稿件修改和发表决定。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5.6谋取不正当利益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利用期刊版面、编辑程序中的保密信息、编辑权利等谋利，应界定为谋取不正当利益。谋取不正当利益的表现形式包括：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a)利用保密信息获得个人或职业利益。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b)利用编辑权利左右发表决定，谋取不当利益。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c)买卖或与第三方机构合作买卖期刊版面。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d)以增加刊载论文数量牟利为目的扩大征稿和用稿范围，或压缩篇幅单期刊载大量论文。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b/>
          <w:bCs/>
          <w:i w:val="0"/>
          <w:iCs w:val="0"/>
          <w:caps w:val="0"/>
          <w:color w:val="333333"/>
          <w:spacing w:val="0"/>
          <w:sz w:val="28"/>
          <w:szCs w:val="28"/>
          <w:shd w:val="clear" w:fill="FFFFFF"/>
          <w:vertAlign w:val="baseline"/>
          <w:lang w:val="en-US"/>
        </w:rPr>
        <w:t>5.7其他学术不端行为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其他学术不端行为包括：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a)重大选题未按规定申报。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b)未经著作权人许可发表其论文。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c)对需要提供相关伦理审查材料的稿件，无视相关要求，不执行相关程序。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d)刊登虚假或过时的期刊获奖信息、数据库收录信息等。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e)随意添加与发表论文内容无关的期刊自引文献，或者要求、暗示作者非必要地引用特定文献。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f)以提高影响因子为目的协议和实施期刊互引。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textAlignment w:val="baseline"/>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pPr>
      <w:r>
        <w:rPr>
          <w:rFonts w:hint="eastAsia" w:asciiTheme="majorEastAsia" w:hAnsiTheme="majorEastAsia" w:eastAsiaTheme="majorEastAsia" w:cstheme="majorEastAsia"/>
          <w:i w:val="0"/>
          <w:iCs w:val="0"/>
          <w:caps w:val="0"/>
          <w:color w:val="333333"/>
          <w:spacing w:val="0"/>
          <w:sz w:val="28"/>
          <w:szCs w:val="28"/>
          <w:shd w:val="clear" w:fill="FFFFFF"/>
          <w:vertAlign w:val="baseline"/>
          <w:lang w:val="en-US"/>
        </w:rPr>
        <w:t>g)故意歪曲作者原意修改稿件内容。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ODk3OGI0NTJjZmNjYzJmZjZmMjg4M2UxODIwMjYifQ=="/>
  </w:docVars>
  <w:rsids>
    <w:rsidRoot w:val="0BA72D37"/>
    <w:rsid w:val="0BA72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2023-06-20T05:18:00Z</dcterms:created>
  <dc:creator>Administrator</dc:creator>
  <cp:lastModifiedBy>Administrator</cp:lastModifiedBy>
  <dcterms:modified xsi:type="dcterms:W3CDTF">2023-06-20T05:22:22Z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95DB12F960E6485DACBB807EF5AD170C_11</vt:lpwstr>
  </property>
</Properties>
</file>