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C8B" w:rsidRPr="00710C8B" w:rsidRDefault="00710C8B" w:rsidP="00710C8B">
      <w:pPr>
        <w:widowControl/>
        <w:shd w:val="clear" w:color="auto" w:fill="FFFFFF"/>
        <w:jc w:val="center"/>
        <w:outlineLvl w:val="0"/>
        <w:rPr>
          <w:rFonts w:ascii="微软雅黑" w:eastAsia="微软雅黑" w:hAnsi="微软雅黑" w:cs="宋体"/>
          <w:b/>
          <w:bCs/>
          <w:color w:val="4B4B4B"/>
          <w:kern w:val="36"/>
          <w:sz w:val="30"/>
          <w:szCs w:val="30"/>
        </w:rPr>
      </w:pPr>
      <w:r w:rsidRPr="00710C8B">
        <w:rPr>
          <w:rFonts w:ascii="微软雅黑" w:eastAsia="微软雅黑" w:hAnsi="微软雅黑" w:cs="宋体" w:hint="eastAsia"/>
          <w:b/>
          <w:bCs/>
          <w:color w:val="4B4B4B"/>
          <w:kern w:val="36"/>
          <w:sz w:val="30"/>
          <w:szCs w:val="30"/>
        </w:rPr>
        <w:t>高等学校预防与处理学术不端行为办法</w:t>
      </w:r>
    </w:p>
    <w:p w:rsidR="00710C8B" w:rsidRPr="00710C8B" w:rsidRDefault="00710C8B" w:rsidP="00710C8B">
      <w:pPr>
        <w:widowControl/>
        <w:shd w:val="clear" w:color="auto" w:fill="FFFFFF"/>
        <w:spacing w:before="450"/>
        <w:jc w:val="right"/>
        <w:rPr>
          <w:rFonts w:ascii="微软雅黑" w:eastAsia="微软雅黑" w:hAnsi="微软雅黑" w:cs="宋体" w:hint="eastAsia"/>
          <w:color w:val="4B4B4B"/>
          <w:kern w:val="0"/>
          <w:sz w:val="24"/>
        </w:rPr>
      </w:pPr>
      <w:r w:rsidRPr="00710C8B">
        <w:rPr>
          <w:rFonts w:ascii="微软雅黑" w:eastAsia="微软雅黑" w:hAnsi="微软雅黑" w:cs="宋体" w:hint="eastAsia"/>
          <w:color w:val="4B4B4B"/>
          <w:kern w:val="0"/>
          <w:sz w:val="24"/>
        </w:rPr>
        <w:t>中华人民共和国教育部令第40号</w:t>
      </w:r>
    </w:p>
    <w:p w:rsidR="00710C8B" w:rsidRPr="00710C8B" w:rsidRDefault="00710C8B" w:rsidP="00710C8B">
      <w:pPr>
        <w:widowControl/>
        <w:shd w:val="clear" w:color="auto" w:fill="FFFFFF"/>
        <w:jc w:val="left"/>
        <w:rPr>
          <w:rFonts w:ascii="微软雅黑" w:eastAsia="微软雅黑" w:hAnsi="微软雅黑" w:cs="宋体" w:hint="eastAsia"/>
          <w:color w:val="4B4B4B"/>
          <w:kern w:val="0"/>
          <w:sz w:val="24"/>
        </w:rPr>
      </w:pPr>
      <w:r w:rsidRPr="00710C8B">
        <w:rPr>
          <w:rFonts w:ascii="微软雅黑" w:eastAsia="微软雅黑" w:hAnsi="微软雅黑" w:cs="宋体" w:hint="eastAsia"/>
          <w:color w:val="4B4B4B"/>
          <w:kern w:val="0"/>
          <w:sz w:val="24"/>
        </w:rPr>
        <w:t xml:space="preserve">　　《高等学校预防与处理学术不端行为办法》已于2016年4月5日经教育部2016年第14次部长办公会议审议通过，现予发布，自2016年9月1日起施行。</w:t>
      </w:r>
    </w:p>
    <w:p w:rsidR="00710C8B" w:rsidRPr="00710C8B" w:rsidRDefault="00710C8B" w:rsidP="00710C8B">
      <w:pPr>
        <w:widowControl/>
        <w:shd w:val="clear" w:color="auto" w:fill="FFFFFF"/>
        <w:jc w:val="right"/>
        <w:rPr>
          <w:rFonts w:ascii="微软雅黑" w:eastAsia="微软雅黑" w:hAnsi="微软雅黑" w:cs="宋体" w:hint="eastAsia"/>
          <w:color w:val="4B4B4B"/>
          <w:kern w:val="0"/>
          <w:sz w:val="24"/>
        </w:rPr>
      </w:pPr>
      <w:r w:rsidRPr="00710C8B">
        <w:rPr>
          <w:rFonts w:ascii="微软雅黑" w:eastAsia="微软雅黑" w:hAnsi="微软雅黑" w:cs="宋体" w:hint="eastAsia"/>
          <w:color w:val="4B4B4B"/>
          <w:kern w:val="0"/>
          <w:sz w:val="24"/>
        </w:rPr>
        <w:t xml:space="preserve">　　教育部部长 袁贵仁</w:t>
      </w:r>
    </w:p>
    <w:p w:rsidR="00710C8B" w:rsidRPr="00710C8B" w:rsidRDefault="00710C8B" w:rsidP="00710C8B">
      <w:pPr>
        <w:widowControl/>
        <w:shd w:val="clear" w:color="auto" w:fill="FFFFFF"/>
        <w:jc w:val="right"/>
        <w:rPr>
          <w:rFonts w:ascii="微软雅黑" w:eastAsia="微软雅黑" w:hAnsi="微软雅黑" w:cs="宋体" w:hint="eastAsia"/>
          <w:color w:val="4B4B4B"/>
          <w:kern w:val="0"/>
          <w:sz w:val="24"/>
        </w:rPr>
      </w:pPr>
      <w:r w:rsidRPr="00710C8B">
        <w:rPr>
          <w:rFonts w:ascii="微软雅黑" w:eastAsia="微软雅黑" w:hAnsi="微软雅黑" w:cs="宋体" w:hint="eastAsia"/>
          <w:color w:val="4B4B4B"/>
          <w:kern w:val="0"/>
          <w:sz w:val="24"/>
        </w:rPr>
        <w:t xml:space="preserve">　　2016年6月16日</w:t>
      </w:r>
    </w:p>
    <w:p w:rsidR="000377A1" w:rsidRPr="00710C8B" w:rsidRDefault="000377A1">
      <w:pPr>
        <w:pStyle w:val="a3"/>
        <w:widowControl/>
        <w:wordWrap w:val="0"/>
        <w:spacing w:beforeAutospacing="0" w:afterAutospacing="0" w:line="20" w:lineRule="atLeast"/>
        <w:ind w:firstLine="420"/>
        <w:jc w:val="center"/>
        <w:rPr>
          <w:rFonts w:ascii="黑体" w:eastAsia="黑体" w:hAnsi="黑体" w:cs="&amp;quot"/>
          <w:sz w:val="32"/>
          <w:szCs w:val="32"/>
        </w:rPr>
      </w:pPr>
      <w:bookmarkStart w:id="0" w:name="_GoBack"/>
      <w:bookmarkEnd w:id="0"/>
    </w:p>
    <w:p w:rsidR="001A3220" w:rsidRPr="008C3C2A" w:rsidRDefault="000377A1" w:rsidP="000377A1">
      <w:pPr>
        <w:pStyle w:val="a3"/>
        <w:spacing w:beforeAutospacing="0" w:afterAutospacing="0"/>
        <w:ind w:firstLine="420"/>
        <w:jc w:val="center"/>
        <w:rPr>
          <w:rFonts w:ascii="方正小标宋简体" w:eastAsia="方正小标宋简体" w:hAnsi="黑体"/>
          <w:sz w:val="44"/>
          <w:szCs w:val="44"/>
        </w:rPr>
      </w:pPr>
      <w:r w:rsidRPr="008C3C2A">
        <w:rPr>
          <w:rFonts w:ascii="方正小标宋简体" w:eastAsia="方正小标宋简体" w:hAnsi="黑体" w:cs="&amp;quot" w:hint="eastAsia"/>
          <w:sz w:val="44"/>
          <w:szCs w:val="44"/>
        </w:rPr>
        <w:t>高等学校预防与处理学术不端行为办法</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第一章　总  则</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第二条　本办法所称学术不端行为是指高等学校及其教学科研人员、管理人员和学生，在科学研究及相关活动中发生的违反公认的学术准则、违背学术诚信的行为。</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第三条　高等学校预防与处理学术不端行为应坚持预防为主、教育与惩戒结合的原则。</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第四条　教育部、国务院有关部门和省级教育部门负责制定高等学校学风建设的宏观政策，指导和监督高等学校学</w:t>
      </w:r>
      <w:r w:rsidRPr="008C3C2A">
        <w:rPr>
          <w:rFonts w:ascii="仿宋_GB2312" w:eastAsia="仿宋_GB2312" w:hAnsi="&amp;quot" w:cs="&amp;quot" w:hint="eastAsia"/>
          <w:sz w:val="32"/>
          <w:szCs w:val="32"/>
        </w:rPr>
        <w:lastRenderedPageBreak/>
        <w:t>风建设工作，建立健全对所主管高等学校重大学术不端行为的处理机制，建立高校学术不端行为的通报与相关信息公开制度。</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高等学校应当充分发挥学术委员会在学风建设方面的作用，支持和保障学术委员会依法履行职责，调查、认定学术不端行为。</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第二章　教育与预防</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第六条　高等学校应当完善学术治理体系，建立科学公正的学术评价和学术发展制度，营造鼓励创新、宽容失败、不骄不躁、风清气正的学术环境。</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高等学校教学科研人员、管理人员、学生在科研活动中应当遵循实事求是的科学精神和严谨认真的治学态度，恪守学术诚信，遵循学术准则，尊重和保护他人知识产权等合法权益。</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第七条　高等学校应当将学术规范和学术诚信教育，作为教师培训和学生教育的必要内容，以多种形式开展教育、培训。</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lastRenderedPageBreak/>
        <w:t>教师对其指导的学生应当进行学术规范、学术诚信教育和指导，对学生公开发表论文、研究和撰写学位论文是否符合学术规范、学术诚信要求，进行必要的检查与审核。</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第八条　高等学校应当利用信息技术等手段，建立对学术成果、学位论文所涉及内容的知识产权查询制度，健全学术规范监督机制。</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第九条　高等学校应当建立健全科研管理制度，在合理期限内保存研究的原始数据和资料，保证科研档案和数据的真实性、完整性。</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高等学校应当完善科研项目评审、学术成果鉴定程序，结合学科特点，对非涉密的科研项目申报材料、学术成果的基本信息以适当方式进行公开。</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第十条　高等学校应当遵循学术研究规律，建立科学的学术水平考核评价标准、办法，引导教学科研人员和学生潜心研究，形成具有创新性、独创性的研究成果。</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第十一条　高等学校应当建立教学科研人员学术诚信记录，在年度考核、职称评定、岗位聘用、课题立项、人才计划、评优奖励中强化学术诚信考核。</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第三章　受理与调查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第十二条　高等学校应当明确具体部门，负责受理社会组织、个人对本校教学科研人员、管理人员及学生学术不端行为的举报；有条件的，可以设立专门岗位或者指定专人，</w:t>
      </w:r>
      <w:r w:rsidRPr="008C3C2A">
        <w:rPr>
          <w:rFonts w:ascii="仿宋_GB2312" w:eastAsia="仿宋_GB2312" w:hAnsi="&amp;quot" w:cs="&amp;quot" w:hint="eastAsia"/>
          <w:sz w:val="32"/>
          <w:szCs w:val="32"/>
        </w:rPr>
        <w:lastRenderedPageBreak/>
        <w:t>负责学术诚信和不端行为举报相关事宜的咨询、受理、调查等工作。</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第十三条　对学术不端行为的举报，一般应当以书面方式实名提出，并符合下列条件：</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（一）有明确的举报对象；</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（二）有实施学术不端行为的事实；</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（三）有客观的证据材料或者查证线索。</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以匿名方式举报，但事实清楚、证据充分或者线索明确的，高等学校应当视情况予以受理。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第十四条　高等学校对媒体公开报道、其他学术机构或者社会组织主动披露的涉及本校人员的学术不端行为，应当依据职权，主动进行调查处理。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第十五条　高等学校受理机构认为举报材料符合条件的，应当及时</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受理决定，并通知举报人。不予受理的，应当书面说明理由。</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第十六条　学术不端行为举报受理后，应当交由学校学术委员会按照相关程序组织开展调查。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学术委员会可委托有关专家就举报内容的合理性、调查的可能性等进行初步审查，并</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是否进入正式调查的决定。</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决定不进入正式调查的，应当告知举报人。举报人如有新的证据，可以提出异议。异议成立的，应当进入正式调查。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lastRenderedPageBreak/>
        <w:t>第十七条　高等学校学术委员会决定进入正式调查的，应当通知被举报人。</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被调查行为涉及资助项目的，可以同时通知项目资助方。</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第十八条　高等学校学术委员会应当组成调查组，负责对被举报行为进行调查；但对事实清楚、证据确凿、情节简单的被举报行为，也可以采用简易调查程序，具体办法由学术委员会确定。</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调查组应当不少于３人，必要时应当包括学校纪检、监察机构指派的工作人员，可以邀请同行专家参与调查或者以咨询等方式提供学术判断。</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被调查行为涉及资助项目的，可以邀请项目资助方委派相关专业人员参与调查组。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第十九条　调查组的组成人员与举报人或者被举报人有合作研究、亲属或者导师学生等直接利害关系的，应当回避。</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第二十条　调查可通过查询资料、现场查看、实验检验、询问证人、询问举报人和被举报人等方式进行。调查组认为有必要的，可以委托无利害关系的专家或者第三</w:t>
      </w:r>
      <w:proofErr w:type="gramStart"/>
      <w:r w:rsidRPr="008C3C2A">
        <w:rPr>
          <w:rFonts w:ascii="仿宋_GB2312" w:eastAsia="仿宋_GB2312" w:hAnsi="&amp;quot" w:cs="&amp;quot" w:hint="eastAsia"/>
          <w:sz w:val="32"/>
          <w:szCs w:val="32"/>
        </w:rPr>
        <w:t>方专业</w:t>
      </w:r>
      <w:proofErr w:type="gramEnd"/>
      <w:r w:rsidRPr="008C3C2A">
        <w:rPr>
          <w:rFonts w:ascii="仿宋_GB2312" w:eastAsia="仿宋_GB2312" w:hAnsi="&amp;quot" w:cs="&amp;quot" w:hint="eastAsia"/>
          <w:sz w:val="32"/>
          <w:szCs w:val="32"/>
        </w:rPr>
        <w:t>机构就有关事项进行独立调查或者验证。</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第二十一条　调查组在调查过程中，应当认真听取被举报人的陈述、申辩，对有关事实、理由和证据进行核实；认</w:t>
      </w:r>
      <w:r w:rsidRPr="008C3C2A">
        <w:rPr>
          <w:rFonts w:ascii="仿宋_GB2312" w:eastAsia="仿宋_GB2312" w:hAnsi="&amp;quot" w:cs="&amp;quot" w:hint="eastAsia"/>
          <w:sz w:val="32"/>
          <w:szCs w:val="32"/>
        </w:rPr>
        <w:lastRenderedPageBreak/>
        <w:t>为必要的，可以采取听证方式。</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第二十二条　有关单位和个人应当为调查组开展工作提供必要的便利和协助。</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举报人、被举报人、证人及其他有关人员应当如实回答询问，配合调查，提供相关证据材料，不得隐瞒或者提供虚假信息。</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第二十三条　调查过程中，出现知识产权等争议引发的法律纠纷的，且该争议可能影响行为定性的，应当中止调查，待争议解决后重启调查。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第二十四条　调查组应当在查清事实的基础上形成调查报告。调查报告应当包括学术不端行为责任人的确认、调查过程、事实认定及理由、调查结论等。</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学术不端行为由多人集体做出的，调查报告中应当区别各责任人在行为中所发挥的作用。</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第二十五条　接触举报材料和参与调查处理的人员，不得向无关人员透露举报人、被举报人个人信息及调查情况。</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第四章　认  定</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第二十六条　高等学校学术委员会应当对调查组提交的调查报告进行审查；必要的，应当听取调查组的汇报。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学术委员会可以召开全体会议或者授权专门委员会对被调查行为是否构成学术不端行为以及行为的性质、情节等</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认定结论，并依职权</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处理或建议学校</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相应处</w:t>
      </w:r>
      <w:r w:rsidRPr="008C3C2A">
        <w:rPr>
          <w:rFonts w:ascii="仿宋_GB2312" w:eastAsia="仿宋_GB2312" w:hAnsi="&amp;quot" w:cs="&amp;quot" w:hint="eastAsia"/>
          <w:sz w:val="32"/>
          <w:szCs w:val="32"/>
        </w:rPr>
        <w:lastRenderedPageBreak/>
        <w:t>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第二十七条　经调查，确认被举报人在科学研究及相关活动中有下列行为之一的，应当认定为构成学术不端行为：</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（一）剽窃、抄袭、侵占他人学术成果；</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（二）篡改他人研究成果；</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（三）伪造科研数据、资料、文献、注释，或者捏造事实、编造虚假研究成果；</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（四）未参加研究或创作而在研究成果、学术论文上署名，未经他人许可而不当使用他人署名，虚构合作者共同署名，或者多人共同完成研究而在成果中未注明他人工作、贡献；</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（五）在申报课题、成果、奖励和职务评审评定、申请学位等过程中提供虚假学术信息；</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（六）买卖论文、由他人代写或者为他人代写论文；</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（七）其他根据高等学校或者有关学术组织、相关科研管理机构制定的规则，属于学术不端的行为。</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第二十八条　有学术不端行为且有下列情形之一的，应当认定为情节严重：</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（一）造成恶劣影响的；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（二）存在利益输送或者利益交换的；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（三）对举报人进行打击报复的；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（四）有组织实施学术不端行为的；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lastRenderedPageBreak/>
        <w:t>（五）多次实施学术不端行为的；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（六）其他造成严重后果或者恶劣影响的。</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第五章　处  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第二十九条　高等学校应当根据学术委员会的认定结论和处理建议，结合行为性质和情节轻重，依职权和规定程序对学术不端行为责任人</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如下处理：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（一）通报批评；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（二）终止或者撤销相关的科研项目，并在一定期限内取消申请资格；</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（三）撤销学术奖励或者荣誉称号；</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（四）辞退或解聘；</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（五）法律、法规及规章规定的其他处理措施。</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同时，可以依照有关规定，给予警告、记过、降低岗位等级或者撤职、开除等处分。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学术不端行为责任人获得有关部门、机构设立的科研项目、学术奖励或者荣誉称号等利益的，学校应当同时向有关主管部门提出处理建议。</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学生有学术不端行为的，还应当按照学生管理的相关规定，给予相应的学籍处分。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学术不端行为与获得学位有直接关联的，由学位授予单位作暂缓授予学位、不授予学位或者依法撤销学位等处理。</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第三十条　高等学校对学术不端行为</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处理决定，应</w:t>
      </w:r>
      <w:r w:rsidRPr="008C3C2A">
        <w:rPr>
          <w:rFonts w:ascii="仿宋_GB2312" w:eastAsia="仿宋_GB2312" w:hAnsi="&amp;quot" w:cs="&amp;quot" w:hint="eastAsia"/>
          <w:sz w:val="32"/>
          <w:szCs w:val="32"/>
        </w:rPr>
        <w:lastRenderedPageBreak/>
        <w:t>当制作处理决定书，载明以下内容：</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（一）责任人的基本情况；</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（二）经查证的学术不端行为事实；</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（三）处理意见和依据；</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（四）救济途径和期限；</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（五）其他必要内容。</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第三十一条　经调查认定，不构成学术不端行为的，根据被举报人申请，高等学校应当通过一定方式为其消除影响、恢复名誉等。</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调查处理过程中，发现举报人存在捏造事实、诬告陷害等行为的，应当认定为举报不实或者虚假举报，举报人应当承担相应责任。属于本单位人员的，高等学校应当按照有关规定给</w:t>
      </w:r>
      <w:proofErr w:type="gramStart"/>
      <w:r w:rsidRPr="008C3C2A">
        <w:rPr>
          <w:rFonts w:ascii="仿宋_GB2312" w:eastAsia="仿宋_GB2312" w:hAnsi="&amp;quot" w:cs="&amp;quot" w:hint="eastAsia"/>
          <w:sz w:val="32"/>
          <w:szCs w:val="32"/>
        </w:rPr>
        <w:t>予处理</w:t>
      </w:r>
      <w:proofErr w:type="gramEnd"/>
      <w:r w:rsidRPr="008C3C2A">
        <w:rPr>
          <w:rFonts w:ascii="仿宋_GB2312" w:eastAsia="仿宋_GB2312" w:hAnsi="&amp;quot" w:cs="&amp;quot" w:hint="eastAsia"/>
          <w:sz w:val="32"/>
          <w:szCs w:val="32"/>
        </w:rPr>
        <w:t>；不属于本单位人员的，应通报其所在单位，并提出处理建议。</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第三十二条　参与举报受理、调查和处理的人员违反保密等规定，造成不良影响的，按照有关规定给予处分或其他处理。</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第六章　复  核</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第三十三条　举报人或者学术不端行为责任人对处理决定不服的，可以在收到处理决定之日起30日内，以书面形式向高等学校提出异议或者复核申请。</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异议和复核不影响处理决定的执行。</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lastRenderedPageBreak/>
        <w:t>第三十四条　高等学校收到异议或者复核申请后，应当交由学术委员会组织讨论，并于15日内</w:t>
      </w:r>
      <w:proofErr w:type="gramStart"/>
      <w:r w:rsidRPr="008C3C2A">
        <w:rPr>
          <w:rFonts w:ascii="仿宋_GB2312" w:eastAsia="仿宋_GB2312" w:hAnsi="&amp;quot" w:cs="&amp;quot" w:hint="eastAsia"/>
          <w:sz w:val="32"/>
          <w:szCs w:val="32"/>
        </w:rPr>
        <w:t>作出</w:t>
      </w:r>
      <w:proofErr w:type="gramEnd"/>
      <w:r w:rsidRPr="008C3C2A">
        <w:rPr>
          <w:rFonts w:ascii="仿宋_GB2312" w:eastAsia="仿宋_GB2312" w:hAnsi="&amp;quot" w:cs="&amp;quot" w:hint="eastAsia"/>
          <w:sz w:val="32"/>
          <w:szCs w:val="32"/>
        </w:rPr>
        <w:t>是否受理的决定。</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决定受理的，学校或者学术委员会可以另行组织调查组或者委托第三方机构进行调查；决定不予受理的，应当书面通知当事人。</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第三十五条　当事人对复核决定不服，仍以同一事实和理由提出异议或者申请复核的，不予受理；向有关主管部门提出申诉的，按照相关规定执行。</w:t>
      </w:r>
    </w:p>
    <w:p w:rsidR="001A3220" w:rsidRPr="008C3C2A" w:rsidRDefault="000377A1" w:rsidP="000377A1">
      <w:pPr>
        <w:pStyle w:val="a3"/>
        <w:spacing w:beforeAutospacing="0" w:afterAutospacing="0"/>
        <w:jc w:val="center"/>
        <w:rPr>
          <w:rFonts w:ascii="黑体" w:eastAsia="黑体" w:hAnsi="黑体" w:cs="&amp;quot"/>
          <w:sz w:val="32"/>
          <w:szCs w:val="32"/>
        </w:rPr>
      </w:pPr>
      <w:r w:rsidRPr="008C3C2A">
        <w:rPr>
          <w:rFonts w:ascii="黑体" w:eastAsia="黑体" w:hAnsi="黑体" w:cs="&amp;quot" w:hint="eastAsia"/>
          <w:sz w:val="32"/>
          <w:szCs w:val="32"/>
        </w:rPr>
        <w:t>第七章　监  督</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第三十六条　高等学校应当按年度发布学风建设工作报告，并向社会公开，接受社会监督。</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第三十七条　高等学校处理学术不端行为推诿塞责、隐瞒包庇、查处不力的，主管部门可以直接组织或者委托相关机构查处。</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第三十八条　高等学校对本校发生的学术不端行为，未能及时查处并做出公正结论，造成恶劣影响的，主管部门应当追究相关领导的责任，并进行通报。</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高等学校为获得相关利益，有组织实施学术不端行为的，主管部门调查确认后，应当撤销高等学校由此获得的相关权利、项目以及其他利益，并追究学校主要负责人、直接负责人的责任。</w:t>
      </w:r>
    </w:p>
    <w:p w:rsidR="001A3220" w:rsidRPr="008C3C2A" w:rsidRDefault="000377A1" w:rsidP="000377A1">
      <w:pPr>
        <w:pStyle w:val="a3"/>
        <w:spacing w:beforeAutospacing="0" w:afterAutospacing="0"/>
        <w:jc w:val="center"/>
        <w:rPr>
          <w:rFonts w:ascii="黑体" w:eastAsia="黑体" w:hAnsi="黑体"/>
          <w:sz w:val="32"/>
          <w:szCs w:val="32"/>
        </w:rPr>
      </w:pPr>
      <w:r w:rsidRPr="008C3C2A">
        <w:rPr>
          <w:rFonts w:ascii="黑体" w:eastAsia="黑体" w:hAnsi="黑体" w:cs="&amp;quot" w:hint="eastAsia"/>
          <w:sz w:val="32"/>
          <w:szCs w:val="32"/>
        </w:rPr>
        <w:lastRenderedPageBreak/>
        <w:t>第八章　附  则</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第四十条　高等学校主管部门对直接受理的学术不端案件，可自行组织调查组或者指定、委托高等学校、有关机构组织调查、认定。对学术不端行为责任人的处理，根据本办法及国家有关规定执行。</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教育系统所属科研机构及其他单位有关人员学术不端行为的调查与处理，可参照本办法执行。</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第四十一条　本办法自2016年9月1日起施行。</w:t>
      </w:r>
    </w:p>
    <w:p w:rsidR="001A3220" w:rsidRPr="008C3C2A" w:rsidRDefault="000377A1" w:rsidP="000377A1">
      <w:pPr>
        <w:pStyle w:val="a3"/>
        <w:spacing w:beforeAutospacing="0" w:afterAutospacing="0"/>
        <w:ind w:firstLineChars="200" w:firstLine="640"/>
        <w:jc w:val="both"/>
        <w:rPr>
          <w:rFonts w:ascii="仿宋_GB2312" w:eastAsia="仿宋_GB2312"/>
          <w:sz w:val="32"/>
          <w:szCs w:val="32"/>
        </w:rPr>
      </w:pPr>
      <w:r w:rsidRPr="008C3C2A">
        <w:rPr>
          <w:rFonts w:ascii="仿宋_GB2312" w:eastAsia="仿宋_GB2312" w:hAnsi="&amp;quot" w:cs="&amp;quot" w:hint="eastAsia"/>
          <w:sz w:val="32"/>
          <w:szCs w:val="32"/>
        </w:rPr>
        <w:t>教育部此前发布的有关规章、文件中的相关规定与本办法不一致的，以本办法为准。</w:t>
      </w:r>
    </w:p>
    <w:p w:rsidR="001A3220" w:rsidRPr="008C3C2A" w:rsidRDefault="001A3220" w:rsidP="000377A1"/>
    <w:sectPr w:rsidR="001A3220" w:rsidRPr="008C3C2A" w:rsidSect="001A322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5DA" w:rsidRDefault="00E475DA" w:rsidP="008C3C2A">
      <w:r>
        <w:separator/>
      </w:r>
    </w:p>
  </w:endnote>
  <w:endnote w:type="continuationSeparator" w:id="0">
    <w:p w:rsidR="00E475DA" w:rsidRDefault="00E475DA" w:rsidP="008C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mp;quot">
    <w:altName w:val="Segoe Print"/>
    <w:charset w:val="00"/>
    <w:family w:val="auto"/>
    <w:pitch w:val="default"/>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4202"/>
      <w:docPartObj>
        <w:docPartGallery w:val="Page Numbers (Bottom of Page)"/>
        <w:docPartUnique/>
      </w:docPartObj>
    </w:sdtPr>
    <w:sdtEndPr/>
    <w:sdtContent>
      <w:p w:rsidR="008C3C2A" w:rsidRDefault="00E475DA">
        <w:pPr>
          <w:pStyle w:val="a5"/>
          <w:jc w:val="center"/>
        </w:pPr>
        <w:r>
          <w:fldChar w:fldCharType="begin"/>
        </w:r>
        <w:r>
          <w:instrText xml:space="preserve"> PAGE   \* MERGEFORMAT </w:instrText>
        </w:r>
        <w:r>
          <w:fldChar w:fldCharType="separate"/>
        </w:r>
        <w:r w:rsidR="00710C8B" w:rsidRPr="00710C8B">
          <w:rPr>
            <w:noProof/>
            <w:lang w:val="zh-CN"/>
          </w:rPr>
          <w:t>1</w:t>
        </w:r>
        <w:r>
          <w:rPr>
            <w:noProof/>
            <w:lang w:val="zh-CN"/>
          </w:rPr>
          <w:fldChar w:fldCharType="end"/>
        </w:r>
      </w:p>
    </w:sdtContent>
  </w:sdt>
  <w:p w:rsidR="008C3C2A" w:rsidRDefault="008C3C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5DA" w:rsidRDefault="00E475DA" w:rsidP="008C3C2A">
      <w:r>
        <w:separator/>
      </w:r>
    </w:p>
  </w:footnote>
  <w:footnote w:type="continuationSeparator" w:id="0">
    <w:p w:rsidR="00E475DA" w:rsidRDefault="00E475DA" w:rsidP="008C3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4E6764"/>
    <w:rsid w:val="000377A1"/>
    <w:rsid w:val="001A3220"/>
    <w:rsid w:val="005E30AB"/>
    <w:rsid w:val="00710C8B"/>
    <w:rsid w:val="008C3C2A"/>
    <w:rsid w:val="00B236FA"/>
    <w:rsid w:val="00E475DA"/>
    <w:rsid w:val="484E6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3220"/>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1A3220"/>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semiHidden/>
    <w:unhideWhenUsed/>
    <w:qFormat/>
    <w:rsid w:val="001A3220"/>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A3220"/>
    <w:pPr>
      <w:spacing w:beforeAutospacing="1" w:afterAutospacing="1"/>
      <w:jc w:val="left"/>
    </w:pPr>
    <w:rPr>
      <w:rFonts w:cs="Times New Roman"/>
      <w:kern w:val="0"/>
      <w:sz w:val="24"/>
    </w:rPr>
  </w:style>
  <w:style w:type="paragraph" w:styleId="a4">
    <w:name w:val="header"/>
    <w:basedOn w:val="a"/>
    <w:link w:val="Char"/>
    <w:rsid w:val="008C3C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C3C2A"/>
    <w:rPr>
      <w:rFonts w:asciiTheme="minorHAnsi" w:eastAsiaTheme="minorEastAsia" w:hAnsiTheme="minorHAnsi" w:cstheme="minorBidi"/>
      <w:kern w:val="2"/>
      <w:sz w:val="18"/>
      <w:szCs w:val="18"/>
    </w:rPr>
  </w:style>
  <w:style w:type="paragraph" w:styleId="a5">
    <w:name w:val="footer"/>
    <w:basedOn w:val="a"/>
    <w:link w:val="Char0"/>
    <w:uiPriority w:val="99"/>
    <w:rsid w:val="008C3C2A"/>
    <w:pPr>
      <w:tabs>
        <w:tab w:val="center" w:pos="4153"/>
        <w:tab w:val="right" w:pos="8306"/>
      </w:tabs>
      <w:snapToGrid w:val="0"/>
      <w:jc w:val="left"/>
    </w:pPr>
    <w:rPr>
      <w:sz w:val="18"/>
      <w:szCs w:val="18"/>
    </w:rPr>
  </w:style>
  <w:style w:type="character" w:customStyle="1" w:styleId="Char0">
    <w:name w:val="页脚 Char"/>
    <w:basedOn w:val="a0"/>
    <w:link w:val="a5"/>
    <w:uiPriority w:val="99"/>
    <w:rsid w:val="008C3C2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114772">
      <w:bodyDiv w:val="1"/>
      <w:marLeft w:val="0"/>
      <w:marRight w:val="0"/>
      <w:marTop w:val="0"/>
      <w:marBottom w:val="0"/>
      <w:divBdr>
        <w:top w:val="none" w:sz="0" w:space="0" w:color="auto"/>
        <w:left w:val="none" w:sz="0" w:space="0" w:color="auto"/>
        <w:bottom w:val="none" w:sz="0" w:space="0" w:color="auto"/>
        <w:right w:val="none" w:sz="0" w:space="0" w:color="auto"/>
      </w:divBdr>
      <w:divsChild>
        <w:div w:id="13286285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689</Words>
  <Characters>3933</Characters>
  <Application>Microsoft Office Word</Application>
  <DocSecurity>0</DocSecurity>
  <Lines>32</Lines>
  <Paragraphs>9</Paragraphs>
  <ScaleCrop>false</ScaleCrop>
  <Company>Microsoft</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龙行天下</dc:creator>
  <cp:lastModifiedBy>姚虎</cp:lastModifiedBy>
  <cp:revision>4</cp:revision>
  <dcterms:created xsi:type="dcterms:W3CDTF">2020-07-08T13:20:00Z</dcterms:created>
  <dcterms:modified xsi:type="dcterms:W3CDTF">2023-04-26T09:55:00Z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