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4998"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95"/>
        <w:gridCol w:w="1679"/>
        <w:gridCol w:w="1063"/>
        <w:gridCol w:w="1739"/>
        <w:gridCol w:w="1151"/>
        <w:gridCol w:w="1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659" w:type="pct"/>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bCs/>
                <w:i w:val="0"/>
                <w:iCs w:val="0"/>
                <w:caps w:val="0"/>
                <w:color w:val="4B4B4B"/>
                <w:spacing w:val="0"/>
                <w:sz w:val="21"/>
                <w:szCs w:val="21"/>
              </w:rPr>
            </w:pPr>
            <w:r>
              <w:rPr>
                <w:rFonts w:hint="eastAsia" w:ascii="宋体" w:hAnsi="宋体" w:eastAsia="宋体" w:cs="宋体"/>
                <w:b/>
                <w:bCs/>
                <w:i w:val="0"/>
                <w:iCs w:val="0"/>
                <w:caps w:val="0"/>
                <w:color w:val="4B4B4B"/>
                <w:spacing w:val="0"/>
                <w:kern w:val="0"/>
                <w:sz w:val="21"/>
                <w:szCs w:val="21"/>
                <w:bdr w:val="none" w:color="auto" w:sz="0" w:space="0"/>
                <w:lang w:val="en-US" w:eastAsia="zh-CN" w:bidi="ar"/>
              </w:rPr>
              <w:t>信息名称：</w:t>
            </w:r>
          </w:p>
        </w:tc>
        <w:tc>
          <w:tcPr>
            <w:tcW w:w="4340" w:type="pct"/>
            <w:gridSpan w:val="5"/>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i w:val="0"/>
                <w:iCs w:val="0"/>
                <w:caps w:val="0"/>
                <w:color w:val="4B4B4B"/>
                <w:spacing w:val="0"/>
                <w:sz w:val="21"/>
                <w:szCs w:val="21"/>
              </w:rPr>
            </w:pPr>
            <w:r>
              <w:rPr>
                <w:rFonts w:hint="eastAsia" w:ascii="宋体" w:hAnsi="宋体" w:eastAsia="宋体" w:cs="宋体"/>
                <w:i w:val="0"/>
                <w:iCs w:val="0"/>
                <w:caps w:val="0"/>
                <w:color w:val="4B4B4B"/>
                <w:spacing w:val="0"/>
                <w:kern w:val="0"/>
                <w:sz w:val="21"/>
                <w:szCs w:val="21"/>
                <w:bdr w:val="none" w:color="auto" w:sz="0" w:space="0"/>
                <w:lang w:val="en-US" w:eastAsia="zh-CN" w:bidi="ar"/>
              </w:rPr>
              <w:t>教育部办公厅关于学习宣传贯彻实施新修订的教育法的通知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659" w:type="pct"/>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bCs/>
                <w:i w:val="0"/>
                <w:iCs w:val="0"/>
                <w:caps w:val="0"/>
                <w:color w:val="4B4B4B"/>
                <w:spacing w:val="0"/>
                <w:sz w:val="21"/>
                <w:szCs w:val="21"/>
              </w:rPr>
            </w:pPr>
            <w:r>
              <w:rPr>
                <w:rFonts w:hint="eastAsia" w:ascii="宋体" w:hAnsi="宋体" w:eastAsia="宋体" w:cs="宋体"/>
                <w:b/>
                <w:bCs/>
                <w:i w:val="0"/>
                <w:iCs w:val="0"/>
                <w:caps w:val="0"/>
                <w:color w:val="4B4B4B"/>
                <w:spacing w:val="0"/>
                <w:kern w:val="0"/>
                <w:sz w:val="21"/>
                <w:szCs w:val="21"/>
                <w:bdr w:val="none" w:color="auto" w:sz="0" w:space="0"/>
                <w:lang w:val="en-US" w:eastAsia="zh-CN" w:bidi="ar"/>
              </w:rPr>
              <w:t>信息索引：</w:t>
            </w:r>
          </w:p>
        </w:tc>
        <w:tc>
          <w:tcPr>
            <w:tcW w:w="1011" w:type="pct"/>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i w:val="0"/>
                <w:iCs w:val="0"/>
                <w:caps w:val="0"/>
                <w:color w:val="4B4B4B"/>
                <w:spacing w:val="0"/>
                <w:sz w:val="21"/>
                <w:szCs w:val="21"/>
              </w:rPr>
            </w:pPr>
            <w:r>
              <w:rPr>
                <w:rFonts w:hint="eastAsia" w:ascii="宋体" w:hAnsi="宋体" w:eastAsia="宋体" w:cs="宋体"/>
                <w:i w:val="0"/>
                <w:iCs w:val="0"/>
                <w:caps w:val="0"/>
                <w:color w:val="4B4B4B"/>
                <w:spacing w:val="0"/>
                <w:kern w:val="0"/>
                <w:sz w:val="21"/>
                <w:szCs w:val="21"/>
                <w:bdr w:val="none" w:color="auto" w:sz="0" w:space="0"/>
                <w:lang w:val="en-US" w:eastAsia="zh-CN" w:bidi="ar"/>
              </w:rPr>
              <w:t>360A02-04-2021-0003-1</w:t>
            </w:r>
          </w:p>
        </w:tc>
        <w:tc>
          <w:tcPr>
            <w:tcW w:w="640" w:type="pct"/>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bCs/>
                <w:i w:val="0"/>
                <w:iCs w:val="0"/>
                <w:caps w:val="0"/>
                <w:color w:val="4B4B4B"/>
                <w:spacing w:val="0"/>
                <w:sz w:val="21"/>
                <w:szCs w:val="21"/>
              </w:rPr>
            </w:pPr>
            <w:r>
              <w:rPr>
                <w:rFonts w:hint="eastAsia" w:ascii="宋体" w:hAnsi="宋体" w:eastAsia="宋体" w:cs="宋体"/>
                <w:b/>
                <w:bCs/>
                <w:i w:val="0"/>
                <w:iCs w:val="0"/>
                <w:caps w:val="0"/>
                <w:color w:val="4B4B4B"/>
                <w:spacing w:val="0"/>
                <w:kern w:val="0"/>
                <w:sz w:val="21"/>
                <w:szCs w:val="21"/>
                <w:bdr w:val="none" w:color="auto" w:sz="0" w:space="0"/>
                <w:lang w:val="en-US" w:eastAsia="zh-CN" w:bidi="ar"/>
              </w:rPr>
              <w:t>生成日期：</w:t>
            </w:r>
          </w:p>
        </w:tc>
        <w:tc>
          <w:tcPr>
            <w:tcW w:w="1047" w:type="pct"/>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i w:val="0"/>
                <w:iCs w:val="0"/>
                <w:caps w:val="0"/>
                <w:color w:val="4B4B4B"/>
                <w:spacing w:val="0"/>
                <w:sz w:val="21"/>
                <w:szCs w:val="21"/>
              </w:rPr>
            </w:pPr>
            <w:r>
              <w:rPr>
                <w:rFonts w:hint="eastAsia" w:ascii="宋体" w:hAnsi="宋体" w:eastAsia="宋体" w:cs="宋体"/>
                <w:i w:val="0"/>
                <w:iCs w:val="0"/>
                <w:caps w:val="0"/>
                <w:color w:val="4B4B4B"/>
                <w:spacing w:val="0"/>
                <w:kern w:val="0"/>
                <w:sz w:val="21"/>
                <w:szCs w:val="21"/>
                <w:bdr w:val="none" w:color="auto" w:sz="0" w:space="0"/>
                <w:lang w:val="en-US" w:eastAsia="zh-CN" w:bidi="ar"/>
              </w:rPr>
              <w:t>2021-05-18</w:t>
            </w:r>
          </w:p>
        </w:tc>
        <w:tc>
          <w:tcPr>
            <w:tcW w:w="693" w:type="pct"/>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bCs/>
                <w:i w:val="0"/>
                <w:iCs w:val="0"/>
                <w:caps w:val="0"/>
                <w:color w:val="4B4B4B"/>
                <w:spacing w:val="0"/>
                <w:sz w:val="21"/>
                <w:szCs w:val="21"/>
              </w:rPr>
            </w:pPr>
            <w:r>
              <w:rPr>
                <w:rFonts w:hint="eastAsia" w:ascii="宋体" w:hAnsi="宋体" w:eastAsia="宋体" w:cs="宋体"/>
                <w:b/>
                <w:bCs/>
                <w:i w:val="0"/>
                <w:iCs w:val="0"/>
                <w:caps w:val="0"/>
                <w:color w:val="4B4B4B"/>
                <w:spacing w:val="0"/>
                <w:kern w:val="0"/>
                <w:sz w:val="21"/>
                <w:szCs w:val="21"/>
                <w:bdr w:val="none" w:color="auto" w:sz="0" w:space="0"/>
                <w:lang w:val="en-US" w:eastAsia="zh-CN" w:bidi="ar"/>
              </w:rPr>
              <w:t>发文机构：</w:t>
            </w:r>
          </w:p>
        </w:tc>
        <w:tc>
          <w:tcPr>
            <w:tcW w:w="949" w:type="pct"/>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i w:val="0"/>
                <w:iCs w:val="0"/>
                <w:caps w:val="0"/>
                <w:color w:val="4B4B4B"/>
                <w:spacing w:val="0"/>
                <w:sz w:val="21"/>
                <w:szCs w:val="21"/>
              </w:rPr>
            </w:pPr>
            <w:r>
              <w:rPr>
                <w:rFonts w:hint="eastAsia" w:ascii="宋体" w:hAnsi="宋体" w:eastAsia="宋体" w:cs="宋体"/>
                <w:i w:val="0"/>
                <w:iCs w:val="0"/>
                <w:caps w:val="0"/>
                <w:color w:val="4B4B4B"/>
                <w:spacing w:val="0"/>
                <w:kern w:val="0"/>
                <w:sz w:val="21"/>
                <w:szCs w:val="21"/>
                <w:bdr w:val="none" w:color="auto" w:sz="0" w:space="0"/>
                <w:lang w:val="en-US" w:eastAsia="zh-CN" w:bidi="ar"/>
              </w:rPr>
              <w:t>教育部办公厅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659" w:type="pct"/>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bCs/>
                <w:i w:val="0"/>
                <w:iCs w:val="0"/>
                <w:caps w:val="0"/>
                <w:color w:val="4B4B4B"/>
                <w:spacing w:val="0"/>
                <w:sz w:val="21"/>
                <w:szCs w:val="21"/>
              </w:rPr>
            </w:pPr>
            <w:r>
              <w:rPr>
                <w:rFonts w:hint="eastAsia" w:ascii="宋体" w:hAnsi="宋体" w:eastAsia="宋体" w:cs="宋体"/>
                <w:b/>
                <w:bCs/>
                <w:i w:val="0"/>
                <w:iCs w:val="0"/>
                <w:caps w:val="0"/>
                <w:color w:val="4B4B4B"/>
                <w:spacing w:val="0"/>
                <w:kern w:val="0"/>
                <w:sz w:val="21"/>
                <w:szCs w:val="21"/>
                <w:bdr w:val="none" w:color="auto" w:sz="0" w:space="0"/>
                <w:lang w:val="en-US" w:eastAsia="zh-CN" w:bidi="ar"/>
              </w:rPr>
              <w:t>发文字号：</w:t>
            </w:r>
          </w:p>
        </w:tc>
        <w:tc>
          <w:tcPr>
            <w:tcW w:w="1011" w:type="pct"/>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i w:val="0"/>
                <w:iCs w:val="0"/>
                <w:caps w:val="0"/>
                <w:color w:val="4B4B4B"/>
                <w:spacing w:val="0"/>
                <w:sz w:val="21"/>
                <w:szCs w:val="21"/>
              </w:rPr>
            </w:pPr>
            <w:r>
              <w:rPr>
                <w:rFonts w:hint="eastAsia" w:ascii="宋体" w:hAnsi="宋体" w:eastAsia="宋体" w:cs="宋体"/>
                <w:i w:val="0"/>
                <w:iCs w:val="0"/>
                <w:caps w:val="0"/>
                <w:color w:val="4B4B4B"/>
                <w:spacing w:val="0"/>
                <w:kern w:val="0"/>
                <w:sz w:val="21"/>
                <w:szCs w:val="21"/>
                <w:bdr w:val="none" w:color="auto" w:sz="0" w:space="0"/>
                <w:lang w:val="en-US" w:eastAsia="zh-CN" w:bidi="ar"/>
              </w:rPr>
              <w:t>教政法厅函〔2021〕12号</w:t>
            </w:r>
          </w:p>
        </w:tc>
        <w:tc>
          <w:tcPr>
            <w:tcW w:w="640" w:type="pct"/>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bCs/>
                <w:i w:val="0"/>
                <w:iCs w:val="0"/>
                <w:caps w:val="0"/>
                <w:color w:val="4B4B4B"/>
                <w:spacing w:val="0"/>
                <w:sz w:val="21"/>
                <w:szCs w:val="21"/>
              </w:rPr>
            </w:pPr>
            <w:r>
              <w:rPr>
                <w:rFonts w:hint="eastAsia" w:ascii="宋体" w:hAnsi="宋体" w:eastAsia="宋体" w:cs="宋体"/>
                <w:b/>
                <w:bCs/>
                <w:i w:val="0"/>
                <w:iCs w:val="0"/>
                <w:caps w:val="0"/>
                <w:color w:val="4B4B4B"/>
                <w:spacing w:val="0"/>
                <w:kern w:val="0"/>
                <w:sz w:val="21"/>
                <w:szCs w:val="21"/>
                <w:bdr w:val="none" w:color="auto" w:sz="0" w:space="0"/>
                <w:lang w:val="en-US" w:eastAsia="zh-CN" w:bidi="ar"/>
              </w:rPr>
              <w:t>信息类别：</w:t>
            </w:r>
          </w:p>
        </w:tc>
        <w:tc>
          <w:tcPr>
            <w:tcW w:w="2689" w:type="pct"/>
            <w:gridSpan w:val="3"/>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i w:val="0"/>
                <w:iCs w:val="0"/>
                <w:caps w:val="0"/>
                <w:color w:val="4B4B4B"/>
                <w:spacing w:val="0"/>
                <w:sz w:val="21"/>
                <w:szCs w:val="21"/>
              </w:rPr>
            </w:pPr>
            <w:r>
              <w:rPr>
                <w:rFonts w:hint="eastAsia" w:ascii="宋体" w:hAnsi="宋体" w:eastAsia="宋体" w:cs="宋体"/>
                <w:i w:val="0"/>
                <w:iCs w:val="0"/>
                <w:caps w:val="0"/>
                <w:color w:val="4B4B4B"/>
                <w:spacing w:val="0"/>
                <w:kern w:val="0"/>
                <w:sz w:val="21"/>
                <w:szCs w:val="21"/>
                <w:bdr w:val="none" w:color="auto" w:sz="0" w:space="0"/>
                <w:lang w:val="en-US" w:eastAsia="zh-CN" w:bidi="ar"/>
              </w:rPr>
              <w:t>教育综合管理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659" w:type="pct"/>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bCs/>
                <w:i w:val="0"/>
                <w:iCs w:val="0"/>
                <w:caps w:val="0"/>
                <w:color w:val="4B4B4B"/>
                <w:spacing w:val="0"/>
                <w:sz w:val="21"/>
                <w:szCs w:val="21"/>
              </w:rPr>
            </w:pPr>
            <w:r>
              <w:rPr>
                <w:rFonts w:hint="eastAsia" w:ascii="宋体" w:hAnsi="宋体" w:eastAsia="宋体" w:cs="宋体"/>
                <w:b/>
                <w:bCs/>
                <w:i w:val="0"/>
                <w:iCs w:val="0"/>
                <w:caps w:val="0"/>
                <w:color w:val="4B4B4B"/>
                <w:spacing w:val="0"/>
                <w:kern w:val="0"/>
                <w:sz w:val="21"/>
                <w:szCs w:val="21"/>
                <w:bdr w:val="none" w:color="auto" w:sz="0" w:space="0"/>
                <w:lang w:val="en-US" w:eastAsia="zh-CN" w:bidi="ar"/>
              </w:rPr>
              <w:t>内容概述：</w:t>
            </w:r>
          </w:p>
        </w:tc>
        <w:tc>
          <w:tcPr>
            <w:tcW w:w="4340" w:type="pct"/>
            <w:gridSpan w:val="5"/>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i w:val="0"/>
                <w:iCs w:val="0"/>
                <w:caps w:val="0"/>
                <w:color w:val="4B4B4B"/>
                <w:spacing w:val="0"/>
                <w:sz w:val="21"/>
                <w:szCs w:val="21"/>
              </w:rPr>
            </w:pPr>
            <w:r>
              <w:rPr>
                <w:rFonts w:hint="eastAsia" w:ascii="宋体" w:hAnsi="宋体" w:eastAsia="宋体" w:cs="宋体"/>
                <w:i w:val="0"/>
                <w:iCs w:val="0"/>
                <w:caps w:val="0"/>
                <w:color w:val="4B4B4B"/>
                <w:spacing w:val="0"/>
                <w:kern w:val="0"/>
                <w:sz w:val="21"/>
                <w:szCs w:val="21"/>
                <w:bdr w:val="none" w:color="auto" w:sz="0" w:space="0"/>
                <w:lang w:val="en-US" w:eastAsia="zh-CN" w:bidi="ar"/>
              </w:rPr>
              <w:t>教育部办公厅发布《关于学习宣传贯彻实施新修订的教育法的通知》。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bCs/>
          <w:color w:val="4B4B4B"/>
          <w:sz w:val="30"/>
          <w:szCs w:val="30"/>
        </w:rPr>
      </w:pPr>
      <w:r>
        <w:rPr>
          <w:rFonts w:hint="eastAsia" w:ascii="微软雅黑" w:hAnsi="微软雅黑" w:eastAsia="微软雅黑" w:cs="微软雅黑"/>
          <w:b/>
          <w:bCs/>
          <w:i w:val="0"/>
          <w:iCs w:val="0"/>
          <w:caps w:val="0"/>
          <w:color w:val="4B4B4B"/>
          <w:spacing w:val="0"/>
          <w:sz w:val="30"/>
          <w:szCs w:val="30"/>
          <w:bdr w:val="none" w:color="auto" w:sz="0" w:space="0"/>
        </w:rPr>
        <w:t>教育部办公厅关于学习宣传贯彻实施</w:t>
      </w:r>
      <w:r>
        <w:rPr>
          <w:rFonts w:hint="eastAsia" w:ascii="微软雅黑" w:hAnsi="微软雅黑" w:eastAsia="微软雅黑" w:cs="微软雅黑"/>
          <w:b/>
          <w:bCs/>
          <w:i w:val="0"/>
          <w:iCs w:val="0"/>
          <w:caps w:val="0"/>
          <w:color w:val="4B4B4B"/>
          <w:spacing w:val="0"/>
          <w:sz w:val="30"/>
          <w:szCs w:val="30"/>
          <w:bdr w:val="none" w:color="auto" w:sz="0" w:space="0"/>
        </w:rPr>
        <w:br w:type="textWrapping"/>
      </w:r>
      <w:r>
        <w:rPr>
          <w:rFonts w:hint="eastAsia" w:ascii="微软雅黑" w:hAnsi="微软雅黑" w:eastAsia="微软雅黑" w:cs="微软雅黑"/>
          <w:b/>
          <w:bCs/>
          <w:i w:val="0"/>
          <w:iCs w:val="0"/>
          <w:caps w:val="0"/>
          <w:color w:val="4B4B4B"/>
          <w:spacing w:val="0"/>
          <w:sz w:val="30"/>
          <w:szCs w:val="30"/>
          <w:bdr w:val="none" w:color="auto" w:sz="0" w:space="0"/>
        </w:rPr>
        <w:t>新修订的教育法的通知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教政法厅函〔2021〕12号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各省、自治区、直辖市教育厅（教委），各计划单列市教育局，新疆生产建设兵团教育局，有关部门（单</w:t>
      </w:r>
      <w:bookmarkStart w:id="0" w:name="_GoBack"/>
      <w:bookmarkEnd w:id="0"/>
      <w:r>
        <w:rPr>
          <w:rFonts w:hint="eastAsia" w:ascii="微软雅黑" w:hAnsi="微软雅黑" w:eastAsia="微软雅黑" w:cs="微软雅黑"/>
          <w:i w:val="0"/>
          <w:iCs w:val="0"/>
          <w:caps w:val="0"/>
          <w:color w:val="4B4B4B"/>
          <w:spacing w:val="0"/>
          <w:sz w:val="24"/>
          <w:szCs w:val="24"/>
          <w:bdr w:val="none" w:color="auto" w:sz="0" w:space="0"/>
        </w:rPr>
        <w:t>位）教育司（局），部属各高等学校、部省合建各高等学校，部内各司局、各直属单位：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2021年4月29日，第十三届全国人民代表大会常务委员会第二十八次会议审议通过了《全国人民代表大会常务委员会关于修改〈中华人民共和国教育法〉的决定》，2021年4月30日起施行。为做好新修订的教育法的学习宣传和贯彻实施工作，现就有关要求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微软雅黑" w:hAnsi="微软雅黑" w:eastAsia="微软雅黑" w:cs="微软雅黑"/>
          <w:color w:val="4B4B4B"/>
          <w:sz w:val="24"/>
          <w:szCs w:val="24"/>
        </w:rPr>
      </w:pPr>
      <w:r>
        <w:rPr>
          <w:rFonts w:hint="eastAsia" w:ascii="微软雅黑" w:hAnsi="微软雅黑" w:eastAsia="微软雅黑" w:cs="微软雅黑"/>
          <w:b/>
          <w:bCs/>
          <w:i w:val="0"/>
          <w:iCs w:val="0"/>
          <w:caps w:val="0"/>
          <w:color w:val="4B4B4B"/>
          <w:spacing w:val="0"/>
          <w:sz w:val="24"/>
          <w:szCs w:val="24"/>
          <w:bdr w:val="none" w:color="auto" w:sz="0" w:space="0"/>
        </w:rPr>
        <w:t>一、充分认识教育法修订的重大意义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教育法是教育领域的基本法，是全面依法治教的法律基础。此次教育法修订，是贯彻落实党的十九大精神、全国教育大会精神的重要举措，是对教育基本法律制度的进一步完善。修订的五个条款，丰富了教育的指导思想、凸显了教育的重要地位、完善了教育方针、充实了教育内容，健全了“培养什么人、怎样培养人、为谁培养人”的法律规范和制度要求，对构建德智体美劳全面培养的教育体系、推动教育高质量发展意义重大。2021年是“十四五”规划开局之年，各地各校要深刻认识教育法修订的重大意义，将新修订的教育法贯彻落实到教育工作的全过程和各方面，转化成深化教育改革发展、落实立德树人根本任务的生动局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微软雅黑" w:hAnsi="微软雅黑" w:eastAsia="微软雅黑" w:cs="微软雅黑"/>
          <w:color w:val="4B4B4B"/>
          <w:sz w:val="24"/>
          <w:szCs w:val="24"/>
        </w:rPr>
      </w:pPr>
      <w:r>
        <w:rPr>
          <w:rFonts w:hint="eastAsia" w:ascii="微软雅黑" w:hAnsi="微软雅黑" w:eastAsia="微软雅黑" w:cs="微软雅黑"/>
          <w:b/>
          <w:bCs/>
          <w:i w:val="0"/>
          <w:iCs w:val="0"/>
          <w:caps w:val="0"/>
          <w:color w:val="4B4B4B"/>
          <w:spacing w:val="0"/>
          <w:sz w:val="24"/>
          <w:szCs w:val="24"/>
          <w:bdr w:val="none" w:color="auto" w:sz="0" w:space="0"/>
        </w:rPr>
        <w:t>二、认真组织学习新修订的教育法的主要内容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各地要将新修订的教育法的学习宣传和贯彻实施作为一项重要任务，切实加强组织领导，大力开展学习宣传活动，推动各级领导干部、广大师生深入领会新修订的教育法的重要内容，全面增强依据教育法保障推动教育改革、破解教育热点难点问题的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要与党史学习教育结合起来，深入了解加强党对教育事业的领导的历史与现实意义，了解党的教育方针的历史演变，深刻领悟将习近平新时代中国特色社会主义思想作为教育指导思想是新时代教育发展的必然要求。要与贯彻落实习近平总书记关于教育的重要论述结合起来，深刻领悟教育国之大计、党之大计的重要地位和对提高人民综合素质、促进人的全面发展、增强中华民族创新创造活力、实现中华民族伟大复兴的决定性意义，把习近平总书记关于教育的重要论述转化为法律的刚性约束和制度规范。要与贯彻落实习近平法治思想结合起来，深刻领悟教育法修订对全面推进依法治教的重要意义，发挥法治固根本、稳预期、利长远的重要作用，在法治轨道上推进教育治理体系和治理能力现代化。要与破解教育领域突出问题结合起来，深刻领悟教育公平是社会公平的重要基础，领会新修订的教育法对保障教育公平、维护人民群众教育获得感、坚持以人民为中心发展教育的重要意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微软雅黑" w:hAnsi="微软雅黑" w:eastAsia="微软雅黑" w:cs="微软雅黑"/>
          <w:color w:val="4B4B4B"/>
          <w:sz w:val="24"/>
          <w:szCs w:val="24"/>
        </w:rPr>
      </w:pPr>
      <w:r>
        <w:rPr>
          <w:rFonts w:hint="eastAsia" w:ascii="微软雅黑" w:hAnsi="微软雅黑" w:eastAsia="微软雅黑" w:cs="微软雅黑"/>
          <w:b/>
          <w:bCs/>
          <w:i w:val="0"/>
          <w:iCs w:val="0"/>
          <w:caps w:val="0"/>
          <w:color w:val="4B4B4B"/>
          <w:spacing w:val="0"/>
          <w:sz w:val="24"/>
          <w:szCs w:val="24"/>
          <w:bdr w:val="none" w:color="auto" w:sz="0" w:space="0"/>
        </w:rPr>
        <w:t>三、切实做好新修订的教育法的贯彻实施工作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各地各校要以习近平新时代中国特色社会主义思想为指导，学习宣传和贯彻实施新修订的教育法，落实法律要求，履行法定职责，服务支撑保障教育高质量发展、办好人民满意的教育。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1.健全党对教育事业全面领导的体制机制。加强党对教育工作的全面领导，是办好教育的根本保证。各地各校要进一步健全、完善党的领导的组织体系、制度体系、工作机制，形成党的领导纵到底、横到边、全覆盖的工作格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2.全面贯彻落实党的教育方针。要以切实提高各级各类学校劳动教育的水平和质量为切入点，努力构建德智体美劳全面培养的教育体系，完善学科体系、教学体系、教材体系和管理体系，推动中华优秀传统文化、革命文化、社会主义先进文化进教材进课堂进头脑，把立德树人融入思想道德教育、文化知识教育、社会实践教育各环节，贯穿基础教育、职业教育、高等教育各领域全过程。要按照新修订的教育法第五条“教育必须为社会主义现代化建设服务、为人民服务，必须与生产劳动和社会实践相结合，培养德智体美劳全面发展的社会主义建设者和接班人”，规范对党的教育方针的表述，使党的教育方针成为广大教育工作者耳熟能详、自觉运用的日常规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3.依法推进教育改革发展。要将新修订的教育法对教育在中华民族伟大复兴历史进程中战略地位的最新定位，自觉转化为保障教育优先发展的体制机制和制度规范，落实到教育事业“十四五”发展规划等各项教育政策、法规规章和规范性文件中。要着力提升教育服务经济社会发展的能力，加快推进教育现代化、建设教育强国、办好人民满意的教育。要进一步提高运用法治思维和法治方式推动教育改革发展的思想自觉和行动自觉，大力推进依法治教、依法行政、依法办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4.着力维护教育公平公正。要坚持把促进公平作为基本教育政策，全面把握新修订的教育法对冒名顶替行为违法情形、处罚办法的规定，坚决依法打击冒名顶替入学行为，依法完善考试招生的制度规范，加大对违法违规行为的查处力度，切实维护考试招生秩序和教育公平正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各地各校要及时总结学习宣传和贯彻实施新修订的教育法工作中的好经验、好做法。学习宣传和贯彻实施中反映出的问题和有关工作建议，请及时报送教育部政策法规司。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right"/>
        <w:textAlignment w:val="auto"/>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教育部办公厅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right"/>
        <w:textAlignment w:val="auto"/>
      </w:pPr>
      <w:r>
        <w:rPr>
          <w:rFonts w:hint="eastAsia" w:ascii="微软雅黑" w:hAnsi="微软雅黑" w:eastAsia="微软雅黑" w:cs="微软雅黑"/>
          <w:i w:val="0"/>
          <w:iCs w:val="0"/>
          <w:caps w:val="0"/>
          <w:color w:val="4B4B4B"/>
          <w:spacing w:val="0"/>
          <w:sz w:val="24"/>
          <w:szCs w:val="24"/>
          <w:bdr w:val="none" w:color="auto" w:sz="0" w:space="0"/>
        </w:rPr>
        <w:t>2021年5月14日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73C01"/>
    <w:rsid w:val="33073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2021-11-22T09:09:00Z</dcterms:created>
  <dc:creator>Administrator</dc:creator>
  <cp:lastModifiedBy>Administrator</cp:lastModifiedBy>
  <dcterms:modified xsi:type="dcterms:W3CDTF">2021-11-22T09:16:28Z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69E4ACD52FA14E37A897017EB81D32DF</vt:lpwstr>
  </property>
</Properties>
</file>